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5E" w:rsidRPr="008A6D5E" w:rsidRDefault="008A6D5E" w:rsidP="008A6D5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ТРЕБОВАНИЯ К ОРГАНИЗАЦИИ УЧЕТА</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Приборы учета - совокупность устройств, обеспечивающих измерение и учет электроэнергии (измерительные трансформаторы тока и напряжения, счетчики электрической энергии, телеметрические датчики, информационно - измерительные системы и их линии связи) и соединенных между собой по установленной схеме.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Для учета электрической энергии используются приборы учета,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Классы точности приборов учета определяются в соответствии с техническими регламентами и иными обязательными требованиями, установленными для классификации средств измерений.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Прибор учета должен соответствовать требованиям законодательства Российской Федерации об обеспечении единства измерений.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b/>
          <w:bCs/>
          <w:sz w:val="24"/>
          <w:szCs w:val="24"/>
          <w:lang w:eastAsia="ru-RU"/>
        </w:rPr>
        <w:t>1. Требования к местам установки приборов учета</w:t>
      </w:r>
      <w:r w:rsidRPr="008A6D5E">
        <w:rPr>
          <w:rFonts w:ascii="Times New Roman" w:eastAsia="Times New Roman" w:hAnsi="Times New Roman" w:cs="Times New Roman"/>
          <w:sz w:val="24"/>
          <w:szCs w:val="24"/>
          <w:lang w:eastAsia="ru-RU"/>
        </w:rPr>
        <w:t xml:space="preserve"> </w:t>
      </w:r>
    </w:p>
    <w:p w:rsid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8A6D5E">
        <w:rPr>
          <w:rFonts w:ascii="Times New Roman" w:eastAsia="Times New Roman" w:hAnsi="Times New Roman" w:cs="Times New Roman"/>
          <w:sz w:val="24"/>
          <w:szCs w:val="24"/>
          <w:lang w:eastAsia="ru-RU"/>
        </w:rPr>
        <w:t>Приборы учета подлежат установке на границах балансовой принадлежности объектов электроэнергетики (</w:t>
      </w:r>
      <w:proofErr w:type="spellStart"/>
      <w:r w:rsidRPr="008A6D5E">
        <w:rPr>
          <w:rFonts w:ascii="Times New Roman" w:eastAsia="Times New Roman" w:hAnsi="Times New Roman" w:cs="Times New Roman"/>
          <w:sz w:val="24"/>
          <w:szCs w:val="24"/>
          <w:lang w:eastAsia="ru-RU"/>
        </w:rPr>
        <w:t>энергопринимающих</w:t>
      </w:r>
      <w:proofErr w:type="spellEnd"/>
      <w:r w:rsidRPr="008A6D5E">
        <w:rPr>
          <w:rFonts w:ascii="Times New Roman" w:eastAsia="Times New Roman" w:hAnsi="Times New Roman" w:cs="Times New Roman"/>
          <w:sz w:val="24"/>
          <w:szCs w:val="24"/>
          <w:lang w:eastAsia="ru-RU"/>
        </w:rPr>
        <w:t xml:space="preserve">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с соблюдением установленных законодательством Российской Федерации требований к местам установки приборов учета, </w:t>
      </w:r>
      <w:proofErr w:type="gramEnd"/>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 При отсутствии технической возможности установки прибора учета на границе балансовой принадлежности объектов электроэнергетики (</w:t>
      </w:r>
      <w:proofErr w:type="spellStart"/>
      <w:r w:rsidRPr="008A6D5E">
        <w:rPr>
          <w:rFonts w:ascii="Times New Roman" w:eastAsia="Times New Roman" w:hAnsi="Times New Roman" w:cs="Times New Roman"/>
          <w:sz w:val="24"/>
          <w:szCs w:val="24"/>
          <w:lang w:eastAsia="ru-RU"/>
        </w:rPr>
        <w:t>энергопринимающих</w:t>
      </w:r>
      <w:proofErr w:type="spellEnd"/>
      <w:r w:rsidRPr="008A6D5E">
        <w:rPr>
          <w:rFonts w:ascii="Times New Roman" w:eastAsia="Times New Roman" w:hAnsi="Times New Roman" w:cs="Times New Roman"/>
          <w:sz w:val="24"/>
          <w:szCs w:val="24"/>
          <w:lang w:eastAsia="ru-RU"/>
        </w:rPr>
        <w:t xml:space="preserve">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w:t>
      </w:r>
      <w:proofErr w:type="spellStart"/>
      <w:r w:rsidRPr="008A6D5E">
        <w:rPr>
          <w:rFonts w:ascii="Times New Roman" w:eastAsia="Times New Roman" w:hAnsi="Times New Roman" w:cs="Times New Roman"/>
          <w:sz w:val="24"/>
          <w:szCs w:val="24"/>
          <w:lang w:eastAsia="ru-RU"/>
        </w:rPr>
        <w:t>энергопринимающих</w:t>
      </w:r>
      <w:proofErr w:type="spellEnd"/>
      <w:r w:rsidRPr="008A6D5E">
        <w:rPr>
          <w:rFonts w:ascii="Times New Roman" w:eastAsia="Times New Roman" w:hAnsi="Times New Roman" w:cs="Times New Roman"/>
          <w:sz w:val="24"/>
          <w:szCs w:val="24"/>
          <w:lang w:eastAsia="ru-RU"/>
        </w:rPr>
        <w:t xml:space="preserve"> устройств) другого смежного субъекта.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Для учета объемов производства электрической энергии производителями электрической энергии (мощности) на розничных рынках приборы учета должны быть также установлены в местах присоединения объектов по производству электрической энергии (мощности) к объектам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производителя электрической энергии (мощности) на розничном рынке.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Счетчики должны устанавливаться в шкафах, камерах комплектных распределительных устройствах, на панелях, щитах, в нишах, на стенах, имеющих жесткую конструкцию. Высота от пола до коробки зажимов счетчиков должна быть в пределах 0,8-1,7 м.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b/>
          <w:bCs/>
          <w:sz w:val="24"/>
          <w:szCs w:val="24"/>
          <w:lang w:eastAsia="ru-RU"/>
        </w:rPr>
        <w:t>2. Схемы подключения приборов учета</w:t>
      </w:r>
      <w:r w:rsidRPr="008A6D5E">
        <w:rPr>
          <w:rFonts w:ascii="Times New Roman" w:eastAsia="Times New Roman" w:hAnsi="Times New Roman" w:cs="Times New Roman"/>
          <w:sz w:val="24"/>
          <w:szCs w:val="24"/>
          <w:lang w:eastAsia="ru-RU"/>
        </w:rPr>
        <w:t xml:space="preserve">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Установка и эксплуатация приборов учета электрической энергии осуществляется в соответствии с требованиями правил устройства электроустановок и инструкций заводов-изготовителей</w:t>
      </w:r>
      <w:r>
        <w:rPr>
          <w:rFonts w:ascii="Times New Roman" w:eastAsia="Times New Roman" w:hAnsi="Times New Roman" w:cs="Times New Roman"/>
          <w:sz w:val="24"/>
          <w:szCs w:val="24"/>
          <w:lang w:eastAsia="ru-RU"/>
        </w:rPr>
        <w:t>.</w:t>
      </w:r>
      <w:r w:rsidRPr="008A6D5E">
        <w:rPr>
          <w:rFonts w:ascii="Times New Roman" w:eastAsia="Times New Roman" w:hAnsi="Times New Roman" w:cs="Times New Roman"/>
          <w:sz w:val="24"/>
          <w:szCs w:val="24"/>
          <w:lang w:eastAsia="ru-RU"/>
        </w:rPr>
        <w:t xml:space="preserve">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Учет активной и реактивной электроэнергии трехфазного тока должен производиться с помощью трехфазных счетчиков.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8A6D5E">
        <w:rPr>
          <w:rFonts w:ascii="Times New Roman" w:eastAsia="Times New Roman" w:hAnsi="Times New Roman" w:cs="Times New Roman"/>
          <w:sz w:val="24"/>
          <w:szCs w:val="24"/>
          <w:lang w:eastAsia="ru-RU"/>
        </w:rPr>
        <w:t xml:space="preserve">Собственник </w:t>
      </w:r>
      <w:proofErr w:type="spellStart"/>
      <w:r w:rsidRPr="008A6D5E">
        <w:rPr>
          <w:rFonts w:ascii="Times New Roman" w:eastAsia="Times New Roman" w:hAnsi="Times New Roman" w:cs="Times New Roman"/>
          <w:sz w:val="24"/>
          <w:szCs w:val="24"/>
          <w:lang w:eastAsia="ru-RU"/>
        </w:rPr>
        <w:t>энергопринимающих</w:t>
      </w:r>
      <w:proofErr w:type="spellEnd"/>
      <w:r w:rsidRPr="008A6D5E">
        <w:rPr>
          <w:rFonts w:ascii="Times New Roman" w:eastAsia="Times New Roman" w:hAnsi="Times New Roman" w:cs="Times New Roman"/>
          <w:sz w:val="24"/>
          <w:szCs w:val="24"/>
          <w:lang w:eastAsia="ru-RU"/>
        </w:rPr>
        <w:t xml:space="preserve"> устройств (объектов по производству электрической энергии (мощности), объектов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имеющий намерение установить в отношении таких </w:t>
      </w:r>
      <w:proofErr w:type="spellStart"/>
      <w:r w:rsidRPr="008A6D5E">
        <w:rPr>
          <w:rFonts w:ascii="Times New Roman" w:eastAsia="Times New Roman" w:hAnsi="Times New Roman" w:cs="Times New Roman"/>
          <w:sz w:val="24"/>
          <w:szCs w:val="24"/>
          <w:lang w:eastAsia="ru-RU"/>
        </w:rPr>
        <w:t>энергопринимающих</w:t>
      </w:r>
      <w:proofErr w:type="spellEnd"/>
      <w:r w:rsidRPr="008A6D5E">
        <w:rPr>
          <w:rFonts w:ascii="Times New Roman" w:eastAsia="Times New Roman" w:hAnsi="Times New Roman" w:cs="Times New Roman"/>
          <w:sz w:val="24"/>
          <w:szCs w:val="24"/>
          <w:lang w:eastAsia="ru-RU"/>
        </w:rPr>
        <w:t xml:space="preserve"> устройств (объектов по производству электрической энергии (мощности), объектов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w:t>
      </w:r>
      <w:proofErr w:type="gramEnd"/>
      <w:r w:rsidRPr="008A6D5E">
        <w:rPr>
          <w:rFonts w:ascii="Times New Roman" w:eastAsia="Times New Roman" w:hAnsi="Times New Roman" w:cs="Times New Roman"/>
          <w:sz w:val="24"/>
          <w:szCs w:val="24"/>
          <w:lang w:eastAsia="ru-RU"/>
        </w:rPr>
        <w:t xml:space="preserve">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сетевой организации (гарантирующего поставщика).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b/>
          <w:bCs/>
          <w:sz w:val="24"/>
          <w:szCs w:val="24"/>
          <w:lang w:eastAsia="ru-RU"/>
        </w:rPr>
        <w:t>3. Метрологические характеристики приборов учета</w:t>
      </w:r>
      <w:r w:rsidRPr="008A6D5E">
        <w:rPr>
          <w:rFonts w:ascii="Times New Roman" w:eastAsia="Times New Roman" w:hAnsi="Times New Roman" w:cs="Times New Roman"/>
          <w:sz w:val="24"/>
          <w:szCs w:val="24"/>
          <w:lang w:eastAsia="ru-RU"/>
        </w:rPr>
        <w:t xml:space="preserve">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3.1. </w:t>
      </w:r>
      <w:proofErr w:type="gramStart"/>
      <w:r w:rsidRPr="008A6D5E">
        <w:rPr>
          <w:rFonts w:ascii="Times New Roman" w:eastAsia="Times New Roman" w:hAnsi="Times New Roman" w:cs="Times New Roman"/>
          <w:sz w:val="24"/>
          <w:szCs w:val="24"/>
          <w:lang w:eastAsia="ru-RU"/>
        </w:rPr>
        <w:t xml:space="preserve">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иметь неповрежденные контрольные пломбы и (или) знаки визуального контроля (далее - расчетные</w:t>
      </w:r>
      <w:proofErr w:type="gramEnd"/>
      <w:r w:rsidRPr="008A6D5E">
        <w:rPr>
          <w:rFonts w:ascii="Times New Roman" w:eastAsia="Times New Roman" w:hAnsi="Times New Roman" w:cs="Times New Roman"/>
          <w:sz w:val="24"/>
          <w:szCs w:val="24"/>
          <w:lang w:eastAsia="ru-RU"/>
        </w:rPr>
        <w:t xml:space="preserve"> приборы учета).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Для учета электрической энергии, потребляемой гражданами, а также на границе раздела объектов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и внутридомовых инженерных систем многоквартирного дома подлежат использованию приборы учета класса точности 2,0 и выше.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В многоквартирных домах, присоединение которых к объектам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осуществляется после 12.06.2012, на границе раздела объектов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и внутридомовых инженерных систем подлежат установке коллективные (</w:t>
      </w:r>
      <w:proofErr w:type="spellStart"/>
      <w:r w:rsidRPr="008A6D5E">
        <w:rPr>
          <w:rFonts w:ascii="Times New Roman" w:eastAsia="Times New Roman" w:hAnsi="Times New Roman" w:cs="Times New Roman"/>
          <w:sz w:val="24"/>
          <w:szCs w:val="24"/>
          <w:lang w:eastAsia="ru-RU"/>
        </w:rPr>
        <w:t>общедомовые</w:t>
      </w:r>
      <w:proofErr w:type="spellEnd"/>
      <w:r w:rsidRPr="008A6D5E">
        <w:rPr>
          <w:rFonts w:ascii="Times New Roman" w:eastAsia="Times New Roman" w:hAnsi="Times New Roman" w:cs="Times New Roman"/>
          <w:sz w:val="24"/>
          <w:szCs w:val="24"/>
          <w:lang w:eastAsia="ru-RU"/>
        </w:rPr>
        <w:t xml:space="preserve">) приборы учета класса точности 1,0 и выше.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3.2. </w:t>
      </w:r>
      <w:proofErr w:type="gramStart"/>
      <w:r w:rsidRPr="008A6D5E">
        <w:rPr>
          <w:rFonts w:ascii="Times New Roman" w:eastAsia="Times New Roman" w:hAnsi="Times New Roman" w:cs="Times New Roman"/>
          <w:sz w:val="24"/>
          <w:szCs w:val="24"/>
          <w:lang w:eastAsia="ru-RU"/>
        </w:rPr>
        <w:t xml:space="preserve">Для учета электрической энергии, потребляемой потребителями, не указанными в пункте 3.1.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напряжением 35 кВ и ниже и класса точности 0,5S и выше - для точек присоединения к объектам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напряжением 110 кВ и выше. </w:t>
      </w:r>
      <w:proofErr w:type="gramEnd"/>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w:t>
      </w:r>
      <w:proofErr w:type="gramStart"/>
      <w:r w:rsidRPr="008A6D5E">
        <w:rPr>
          <w:rFonts w:ascii="Times New Roman" w:eastAsia="Times New Roman" w:hAnsi="Times New Roman" w:cs="Times New Roman"/>
          <w:sz w:val="24"/>
          <w:szCs w:val="24"/>
          <w:lang w:eastAsia="ru-RU"/>
        </w:rPr>
        <w:t>за</w:t>
      </w:r>
      <w:proofErr w:type="gramEnd"/>
      <w:r w:rsidRPr="008A6D5E">
        <w:rPr>
          <w:rFonts w:ascii="Times New Roman" w:eastAsia="Times New Roman" w:hAnsi="Times New Roman" w:cs="Times New Roman"/>
          <w:sz w:val="24"/>
          <w:szCs w:val="24"/>
          <w:lang w:eastAsia="ru-RU"/>
        </w:rPr>
        <w:t xml:space="preserve"> последние 90 дней и более или включенные в систему учета.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8A6D5E">
        <w:rPr>
          <w:rFonts w:ascii="Times New Roman" w:eastAsia="Times New Roman" w:hAnsi="Times New Roman" w:cs="Times New Roman"/>
          <w:sz w:val="24"/>
          <w:szCs w:val="24"/>
          <w:lang w:eastAsia="ru-RU"/>
        </w:rPr>
        <w:t>Для учета реактивной мощности, потребляемой (производимой) потребителями с максимальной мощностью не менее 670 кВт,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w:t>
      </w:r>
      <w:proofErr w:type="gramEnd"/>
      <w:r w:rsidRPr="008A6D5E">
        <w:rPr>
          <w:rFonts w:ascii="Times New Roman" w:eastAsia="Times New Roman" w:hAnsi="Times New Roman" w:cs="Times New Roman"/>
          <w:sz w:val="24"/>
          <w:szCs w:val="24"/>
          <w:lang w:eastAsia="ru-RU"/>
        </w:rPr>
        <w:t xml:space="preserve">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 </w:t>
      </w:r>
    </w:p>
    <w:p w:rsidR="008A6D5E" w:rsidRPr="008A6D5E" w:rsidRDefault="008A6D5E" w:rsidP="008A6D5E">
      <w:pPr>
        <w:spacing w:after="0" w:line="240" w:lineRule="auto"/>
        <w:ind w:firstLine="709"/>
        <w:jc w:val="both"/>
        <w:rPr>
          <w:rFonts w:ascii="Times New Roman" w:eastAsia="Times New Roman" w:hAnsi="Times New Roman" w:cs="Times New Roman"/>
          <w:sz w:val="24"/>
          <w:szCs w:val="24"/>
          <w:lang w:eastAsia="ru-RU"/>
        </w:rPr>
      </w:pPr>
      <w:hyperlink r:id="rId4" w:tgtFrame="_blank" w:history="1">
        <w:r w:rsidRPr="008A6D5E">
          <w:rPr>
            <w:rFonts w:ascii="Times New Roman" w:eastAsia="Times New Roman" w:hAnsi="Times New Roman" w:cs="Times New Roman"/>
            <w:sz w:val="24"/>
            <w:szCs w:val="24"/>
            <w:lang w:eastAsia="ru-RU"/>
          </w:rPr>
          <w:t>Технические требования к расчетным счетчикам активной электроэнергии для ра</w:t>
        </w:r>
        <w:r>
          <w:rPr>
            <w:rFonts w:ascii="Times New Roman" w:eastAsia="Times New Roman" w:hAnsi="Times New Roman" w:cs="Times New Roman"/>
            <w:sz w:val="24"/>
            <w:szCs w:val="24"/>
            <w:lang w:eastAsia="ru-RU"/>
          </w:rPr>
          <w:t xml:space="preserve">зличных категорий потребителей определены </w:t>
        </w:r>
        <w:r w:rsidRPr="008A6D5E">
          <w:rPr>
            <w:rFonts w:ascii="Times New Roman" w:eastAsia="Times New Roman" w:hAnsi="Times New Roman" w:cs="Times New Roman"/>
            <w:sz w:val="24"/>
            <w:szCs w:val="24"/>
            <w:lang w:eastAsia="ru-RU"/>
          </w:rPr>
          <w:t>ПП РФ от 04.05.2012 №442</w:t>
        </w:r>
      </w:hyperlink>
      <w:r>
        <w:rPr>
          <w:rFonts w:ascii="Times New Roman" w:eastAsia="Times New Roman" w:hAnsi="Times New Roman" w:cs="Times New Roman"/>
          <w:sz w:val="24"/>
          <w:szCs w:val="24"/>
          <w:lang w:eastAsia="ru-RU"/>
        </w:rPr>
        <w:t>.</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3.3. Для учета электрической энергии в точках присоединения объектов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одной сетевой организации к объектам </w:t>
      </w:r>
      <w:proofErr w:type="spellStart"/>
      <w:r w:rsidRPr="008A6D5E">
        <w:rPr>
          <w:rFonts w:ascii="Times New Roman" w:eastAsia="Times New Roman" w:hAnsi="Times New Roman" w:cs="Times New Roman"/>
          <w:sz w:val="24"/>
          <w:szCs w:val="24"/>
          <w:lang w:eastAsia="ru-RU"/>
        </w:rPr>
        <w:t>электросетевого</w:t>
      </w:r>
      <w:proofErr w:type="spellEnd"/>
      <w:r w:rsidRPr="008A6D5E">
        <w:rPr>
          <w:rFonts w:ascii="Times New Roman" w:eastAsia="Times New Roman" w:hAnsi="Times New Roman" w:cs="Times New Roman"/>
          <w:sz w:val="24"/>
          <w:szCs w:val="24"/>
          <w:lang w:eastAsia="ru-RU"/>
        </w:rPr>
        <w:t xml:space="preserve"> хозяйства другой сетевой организации подлежат использованию приборы учета, соответствующие требованиям, предусмотренным пунктом 3.2. настоящего документа.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3.4. </w:t>
      </w:r>
      <w:proofErr w:type="gramStart"/>
      <w:r w:rsidRPr="008A6D5E">
        <w:rPr>
          <w:rFonts w:ascii="Times New Roman" w:eastAsia="Times New Roman" w:hAnsi="Times New Roman" w:cs="Times New Roman"/>
          <w:sz w:val="24"/>
          <w:szCs w:val="24"/>
          <w:lang w:eastAsia="ru-RU"/>
        </w:rPr>
        <w:t xml:space="preserve">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 </w:t>
      </w:r>
      <w:proofErr w:type="gramEnd"/>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3.5. Используемые на 12.06.2012 приборы учета (измерительные трансформаторы) класса точности ниже, чем указано в пунктах 3.1., 3.2., 3.4.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пунктах 3.2. и 3.4 настоящего документа, могут быть использованы вплоть до </w:t>
      </w:r>
      <w:proofErr w:type="gramStart"/>
      <w:r w:rsidRPr="008A6D5E">
        <w:rPr>
          <w:rFonts w:ascii="Times New Roman" w:eastAsia="Times New Roman" w:hAnsi="Times New Roman" w:cs="Times New Roman"/>
          <w:sz w:val="24"/>
          <w:szCs w:val="24"/>
          <w:lang w:eastAsia="ru-RU"/>
        </w:rPr>
        <w:t>истечения</w:t>
      </w:r>
      <w:proofErr w:type="gramEnd"/>
      <w:r w:rsidRPr="008A6D5E">
        <w:rPr>
          <w:rFonts w:ascii="Times New Roman" w:eastAsia="Times New Roman" w:hAnsi="Times New Roman" w:cs="Times New Roman"/>
          <w:sz w:val="24"/>
          <w:szCs w:val="24"/>
          <w:lang w:eastAsia="ru-RU"/>
        </w:rPr>
        <w:t xml:space="preserve"> установленного для них </w:t>
      </w:r>
      <w:proofErr w:type="spellStart"/>
      <w:r w:rsidRPr="008A6D5E">
        <w:rPr>
          <w:rFonts w:ascii="Times New Roman" w:eastAsia="Times New Roman" w:hAnsi="Times New Roman" w:cs="Times New Roman"/>
          <w:sz w:val="24"/>
          <w:szCs w:val="24"/>
          <w:lang w:eastAsia="ru-RU"/>
        </w:rPr>
        <w:t>межповерочного</w:t>
      </w:r>
      <w:proofErr w:type="spellEnd"/>
      <w:r w:rsidRPr="008A6D5E">
        <w:rPr>
          <w:rFonts w:ascii="Times New Roman" w:eastAsia="Times New Roman" w:hAnsi="Times New Roman" w:cs="Times New Roman"/>
          <w:sz w:val="24"/>
          <w:szCs w:val="24"/>
          <w:lang w:eastAsia="ru-RU"/>
        </w:rPr>
        <w:t xml:space="preserve"> интервала, либо до момента выхода таких приборов учета из строя или их утраты, если это произошло до истечения </w:t>
      </w:r>
      <w:proofErr w:type="spellStart"/>
      <w:r w:rsidRPr="008A6D5E">
        <w:rPr>
          <w:rFonts w:ascii="Times New Roman" w:eastAsia="Times New Roman" w:hAnsi="Times New Roman" w:cs="Times New Roman"/>
          <w:sz w:val="24"/>
          <w:szCs w:val="24"/>
          <w:lang w:eastAsia="ru-RU"/>
        </w:rPr>
        <w:t>межповерочного</w:t>
      </w:r>
      <w:proofErr w:type="spellEnd"/>
      <w:r w:rsidRPr="008A6D5E">
        <w:rPr>
          <w:rFonts w:ascii="Times New Roman" w:eastAsia="Times New Roman" w:hAnsi="Times New Roman" w:cs="Times New Roman"/>
          <w:sz w:val="24"/>
          <w:szCs w:val="24"/>
          <w:lang w:eastAsia="ru-RU"/>
        </w:rPr>
        <w:t xml:space="preserve"> интервала. По истечении </w:t>
      </w:r>
      <w:proofErr w:type="spellStart"/>
      <w:r w:rsidRPr="008A6D5E">
        <w:rPr>
          <w:rFonts w:ascii="Times New Roman" w:eastAsia="Times New Roman" w:hAnsi="Times New Roman" w:cs="Times New Roman"/>
          <w:sz w:val="24"/>
          <w:szCs w:val="24"/>
          <w:lang w:eastAsia="ru-RU"/>
        </w:rPr>
        <w:t>межповерочного</w:t>
      </w:r>
      <w:proofErr w:type="spellEnd"/>
      <w:r w:rsidRPr="008A6D5E">
        <w:rPr>
          <w:rFonts w:ascii="Times New Roman" w:eastAsia="Times New Roman" w:hAnsi="Times New Roman" w:cs="Times New Roman"/>
          <w:sz w:val="24"/>
          <w:szCs w:val="24"/>
          <w:lang w:eastAsia="ru-RU"/>
        </w:rPr>
        <w:t xml:space="preserve"> интервала либо после выхода приборов учета из строя или их утраты, если это произошло до истечения </w:t>
      </w:r>
      <w:proofErr w:type="spellStart"/>
      <w:r w:rsidRPr="008A6D5E">
        <w:rPr>
          <w:rFonts w:ascii="Times New Roman" w:eastAsia="Times New Roman" w:hAnsi="Times New Roman" w:cs="Times New Roman"/>
          <w:sz w:val="24"/>
          <w:szCs w:val="24"/>
          <w:lang w:eastAsia="ru-RU"/>
        </w:rPr>
        <w:t>межповерочного</w:t>
      </w:r>
      <w:proofErr w:type="spellEnd"/>
      <w:r w:rsidRPr="008A6D5E">
        <w:rPr>
          <w:rFonts w:ascii="Times New Roman" w:eastAsia="Times New Roman" w:hAnsi="Times New Roman" w:cs="Times New Roman"/>
          <w:sz w:val="24"/>
          <w:szCs w:val="24"/>
          <w:lang w:eastAsia="ru-RU"/>
        </w:rPr>
        <w:t xml:space="preserve"> интервала, такие приборы учета подлежат замене на приборы учета с характеристиками не хуже, чем указано в пунктах 3.1., 3.2., 3.4.  настоящего документа.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Приборы учета класса точности ниже, чем указано в пункте 3.1.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пункте 3.1. настоящего документа.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3.6. Каждый установленный расчетный счетчик должен иметь на винтах, крепящих кожух счетчика, пломбы с клеймом </w:t>
      </w:r>
      <w:proofErr w:type="spellStart"/>
      <w:r w:rsidRPr="008A6D5E">
        <w:rPr>
          <w:rFonts w:ascii="Times New Roman" w:eastAsia="Times New Roman" w:hAnsi="Times New Roman" w:cs="Times New Roman"/>
          <w:sz w:val="24"/>
          <w:szCs w:val="24"/>
          <w:lang w:eastAsia="ru-RU"/>
        </w:rPr>
        <w:t>поверителя</w:t>
      </w:r>
      <w:proofErr w:type="spellEnd"/>
      <w:r w:rsidRPr="008A6D5E">
        <w:rPr>
          <w:rFonts w:ascii="Times New Roman" w:eastAsia="Times New Roman" w:hAnsi="Times New Roman" w:cs="Times New Roman"/>
          <w:sz w:val="24"/>
          <w:szCs w:val="24"/>
          <w:lang w:eastAsia="ru-RU"/>
        </w:rPr>
        <w:t xml:space="preserve">. На вновь устанавливаемых трехфазных счетчиках должны быть пломбы о поверке с давностью не более 12 месяцев, а на однофазных счетчиках - с давностью не более 2 лет (для новых или реконструируемых узлов учета электроэнергии). </w:t>
      </w:r>
    </w:p>
    <w:p w:rsidR="008A6D5E" w:rsidRPr="008A6D5E" w:rsidRDefault="008A6D5E" w:rsidP="008A6D5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6D5E">
        <w:rPr>
          <w:rFonts w:ascii="Times New Roman" w:eastAsia="Times New Roman" w:hAnsi="Times New Roman" w:cs="Times New Roman"/>
          <w:sz w:val="24"/>
          <w:szCs w:val="24"/>
          <w:lang w:eastAsia="ru-RU"/>
        </w:rPr>
        <w:t xml:space="preserve">3.7. Периодичность и объем поверки расчетных счетчиков должны соответствовать требованиям действующих нормативных документов. Положительные результаты поверки счетчика удостоверяются </w:t>
      </w:r>
      <w:proofErr w:type="spellStart"/>
      <w:r w:rsidRPr="008A6D5E">
        <w:rPr>
          <w:rFonts w:ascii="Times New Roman" w:eastAsia="Times New Roman" w:hAnsi="Times New Roman" w:cs="Times New Roman"/>
          <w:sz w:val="24"/>
          <w:szCs w:val="24"/>
          <w:lang w:eastAsia="ru-RU"/>
        </w:rPr>
        <w:t>поверительным</w:t>
      </w:r>
      <w:proofErr w:type="spellEnd"/>
      <w:r w:rsidRPr="008A6D5E">
        <w:rPr>
          <w:rFonts w:ascii="Times New Roman" w:eastAsia="Times New Roman" w:hAnsi="Times New Roman" w:cs="Times New Roman"/>
          <w:sz w:val="24"/>
          <w:szCs w:val="24"/>
          <w:lang w:eastAsia="ru-RU"/>
        </w:rPr>
        <w:t xml:space="preserve"> клеймом или свидетельством о поверке. </w:t>
      </w:r>
    </w:p>
    <w:p w:rsidR="008F77CA" w:rsidRDefault="008F77CA" w:rsidP="008A6D5E">
      <w:pPr>
        <w:spacing w:after="0" w:line="288" w:lineRule="auto"/>
        <w:jc w:val="center"/>
      </w:pPr>
    </w:p>
    <w:sectPr w:rsidR="008F77CA" w:rsidSect="00221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2185F"/>
    <w:rsid w:val="0012185F"/>
    <w:rsid w:val="007C5EF0"/>
    <w:rsid w:val="008A6D5E"/>
    <w:rsid w:val="008F7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5F"/>
  </w:style>
  <w:style w:type="paragraph" w:styleId="1">
    <w:name w:val="heading 1"/>
    <w:basedOn w:val="a"/>
    <w:link w:val="10"/>
    <w:uiPriority w:val="9"/>
    <w:qFormat/>
    <w:rsid w:val="008A6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D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6D5E"/>
    <w:rPr>
      <w:color w:val="0000FF"/>
      <w:u w:val="single"/>
    </w:rPr>
  </w:style>
</w:styles>
</file>

<file path=word/webSettings.xml><?xml version="1.0" encoding="utf-8"?>
<w:webSettings xmlns:r="http://schemas.openxmlformats.org/officeDocument/2006/relationships" xmlns:w="http://schemas.openxmlformats.org/wordprocessingml/2006/main">
  <w:divs>
    <w:div w:id="2052415521">
      <w:bodyDiv w:val="1"/>
      <w:marLeft w:val="0"/>
      <w:marRight w:val="0"/>
      <w:marTop w:val="0"/>
      <w:marBottom w:val="0"/>
      <w:divBdr>
        <w:top w:val="none" w:sz="0" w:space="0" w:color="auto"/>
        <w:left w:val="none" w:sz="0" w:space="0" w:color="auto"/>
        <w:bottom w:val="none" w:sz="0" w:space="0" w:color="auto"/>
        <w:right w:val="none" w:sz="0" w:space="0" w:color="auto"/>
      </w:divBdr>
      <w:divsChild>
        <w:div w:id="60404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idcom-rt.ru/upload/content/potrebitelyam/kommercheskiy-uchet-elektricheskoy-energii/trebovaniya-k-organizatsii-ucheta/Tekhnichesqie-trebovaniia-q-raschetnym-schetchiqa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И.А.</dc:creator>
  <cp:keywords/>
  <dc:description/>
  <cp:lastModifiedBy>Бородина И.А.</cp:lastModifiedBy>
  <cp:revision>3</cp:revision>
  <dcterms:created xsi:type="dcterms:W3CDTF">2021-03-26T10:02:00Z</dcterms:created>
  <dcterms:modified xsi:type="dcterms:W3CDTF">2021-03-27T05:33:00Z</dcterms:modified>
</cp:coreProperties>
</file>